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58869" w14:textId="77777777" w:rsidR="00375AAA" w:rsidRDefault="00375AAA" w:rsidP="00375AAA">
      <w:pPr>
        <w:pStyle w:val="Heading1"/>
      </w:pPr>
      <w:bookmarkStart w:id="0" w:name="_Hlk152239858"/>
    </w:p>
    <w:p w14:paraId="55EB20F5" w14:textId="129964F6" w:rsidR="00B77AD8" w:rsidRPr="00A33F3A" w:rsidRDefault="00B53B91" w:rsidP="00375AAA">
      <w:pPr>
        <w:pStyle w:val="Heading1"/>
      </w:pPr>
      <w:r>
        <w:t>Maximise Your Income</w:t>
      </w:r>
    </w:p>
    <w:p w14:paraId="385C3B2F" w14:textId="0E21A807" w:rsidR="00B77AD8" w:rsidRPr="00AE3EB8" w:rsidRDefault="00B53B91" w:rsidP="0083707D">
      <w:pPr>
        <w:pStyle w:val="Heading1"/>
      </w:pPr>
      <w:r>
        <w:t>Salary Packaging In The Housing and Homelessness Sector</w:t>
      </w:r>
      <w:r w:rsidR="00B77AD8" w:rsidRPr="00C3616B">
        <w:t xml:space="preserve"> </w:t>
      </w:r>
    </w:p>
    <w:p w14:paraId="134A5649" w14:textId="7B3BB9E3" w:rsidR="003B19D9" w:rsidRPr="009B4BC9" w:rsidRDefault="003B19D9" w:rsidP="003B19D9">
      <w:pPr>
        <w:rPr>
          <w:b/>
          <w:bCs/>
          <w:shd w:val="clear" w:color="auto" w:fill="FFFFFF"/>
        </w:rPr>
      </w:pPr>
      <w:r>
        <w:rPr>
          <w:shd w:val="clear" w:color="auto" w:fill="FFFFFF"/>
        </w:rPr>
        <w:t>Working in the</w:t>
      </w:r>
      <w:r w:rsidRPr="009B4BC9">
        <w:rPr>
          <w:shd w:val="clear" w:color="auto" w:fill="FFFFFF"/>
        </w:rPr>
        <w:t xml:space="preserve"> housing and homelessness sector</w:t>
      </w:r>
      <w:r>
        <w:rPr>
          <w:shd w:val="clear" w:color="auto" w:fill="FFFFFF"/>
        </w:rPr>
        <w:t xml:space="preserve"> provides you with opportunities to make</w:t>
      </w:r>
      <w:r w:rsidRPr="009B4BC9">
        <w:rPr>
          <w:shd w:val="clear" w:color="auto" w:fill="FFFFFF"/>
        </w:rPr>
        <w:t xml:space="preserve"> a positive difference</w:t>
      </w:r>
      <w:r>
        <w:rPr>
          <w:shd w:val="clear" w:color="auto" w:fill="FFFFFF"/>
        </w:rPr>
        <w:t>,</w:t>
      </w:r>
      <w:r w:rsidR="00E6117B">
        <w:rPr>
          <w:shd w:val="clear" w:color="auto" w:fill="FFFFFF"/>
        </w:rPr>
        <w:t xml:space="preserve"> and in some cases, access financial benefits through your employer.</w:t>
      </w:r>
      <w:r w:rsidRPr="009B4BC9">
        <w:rPr>
          <w:shd w:val="clear" w:color="auto" w:fill="FFFFFF"/>
        </w:rPr>
        <w:t xml:space="preserve"> </w:t>
      </w:r>
      <w:r w:rsidR="00E6117B">
        <w:rPr>
          <w:shd w:val="clear" w:color="auto" w:fill="FFFFFF"/>
        </w:rPr>
        <w:t xml:space="preserve">Many </w:t>
      </w:r>
      <w:r w:rsidRPr="009B4BC9">
        <w:rPr>
          <w:shd w:val="clear" w:color="auto" w:fill="FFFFFF"/>
        </w:rPr>
        <w:t>employee</w:t>
      </w:r>
      <w:r w:rsidR="00E6117B">
        <w:rPr>
          <w:shd w:val="clear" w:color="auto" w:fill="FFFFFF"/>
        </w:rPr>
        <w:t>s</w:t>
      </w:r>
      <w:r w:rsidRPr="009B4BC9">
        <w:rPr>
          <w:shd w:val="clear" w:color="auto" w:fill="FFFFFF"/>
        </w:rPr>
        <w:t xml:space="preserve"> in this sector have access to salary packaging – a valuable benefit that enhances your earnings. </w:t>
      </w:r>
    </w:p>
    <w:p w14:paraId="274ADC7C" w14:textId="2FBC94CB" w:rsidR="0083707D" w:rsidRPr="009B4BC9" w:rsidRDefault="0083707D" w:rsidP="0083707D">
      <w:pPr>
        <w:pStyle w:val="Heading2"/>
        <w:rPr>
          <w:bCs/>
        </w:rPr>
      </w:pPr>
      <w:bookmarkStart w:id="1" w:name="_Hlk158640664"/>
      <w:r w:rsidRPr="009B4BC9">
        <w:t xml:space="preserve">What is </w:t>
      </w:r>
      <w:r w:rsidR="00E07E70">
        <w:t>S</w:t>
      </w:r>
      <w:r w:rsidRPr="009B4BC9">
        <w:t xml:space="preserve">alary </w:t>
      </w:r>
      <w:r w:rsidR="00E07E70">
        <w:t>P</w:t>
      </w:r>
      <w:r w:rsidRPr="009B4BC9">
        <w:t>ackaging?</w:t>
      </w:r>
    </w:p>
    <w:p w14:paraId="7DF95AF5" w14:textId="77777777" w:rsidR="0083707D" w:rsidRPr="009B4BC9" w:rsidRDefault="0083707D" w:rsidP="0083707D">
      <w:pPr>
        <w:jc w:val="both"/>
        <w:rPr>
          <w:rFonts w:ascii="Calibri Light" w:hAnsi="Calibri Light" w:cs="Calibri Light"/>
          <w:color w:val="404040" w:themeColor="text1" w:themeTint="BF"/>
        </w:rPr>
      </w:pPr>
      <w:r w:rsidRPr="009B4BC9">
        <w:rPr>
          <w:rFonts w:ascii="Calibri Light" w:hAnsi="Calibri Light" w:cs="Calibri Light"/>
          <w:color w:val="404040" w:themeColor="text1" w:themeTint="BF"/>
          <w:lang w:val="en-US"/>
        </w:rPr>
        <w:t xml:space="preserve">Salary packaging, also known as salary sacrificing, is an ATO-approved incentive that </w:t>
      </w:r>
      <w:r w:rsidRPr="009B4BC9">
        <w:rPr>
          <w:rFonts w:ascii="Calibri Light" w:hAnsi="Calibri Light" w:cs="Calibri Light"/>
          <w:color w:val="404040" w:themeColor="text1" w:themeTint="BF"/>
        </w:rPr>
        <w:t>allows you to increase your gross income by reducing the tax you pay.</w:t>
      </w:r>
      <w:r>
        <w:rPr>
          <w:rFonts w:ascii="Calibri Light" w:hAnsi="Calibri Light" w:cs="Calibri Light"/>
          <w:color w:val="404040" w:themeColor="text1" w:themeTint="BF"/>
        </w:rPr>
        <w:t xml:space="preserve"> </w:t>
      </w:r>
      <w:r w:rsidRPr="009B4BC9">
        <w:rPr>
          <w:rFonts w:ascii="Calibri Light" w:hAnsi="Calibri Light" w:cs="Calibri Light"/>
          <w:color w:val="404040" w:themeColor="text1" w:themeTint="BF"/>
        </w:rPr>
        <w:t>Through this incentive, you can access up to $15,900 of your gross salary tax-free.</w:t>
      </w:r>
    </w:p>
    <w:p w14:paraId="62236801" w14:textId="5D316B6B" w:rsidR="0083707D" w:rsidRPr="009B4BC9" w:rsidRDefault="0083707D" w:rsidP="0083707D">
      <w:pPr>
        <w:pStyle w:val="Heading2"/>
        <w:rPr>
          <w:bCs/>
        </w:rPr>
      </w:pPr>
      <w:r w:rsidRPr="009B4BC9">
        <w:t xml:space="preserve">Benefits of </w:t>
      </w:r>
      <w:r w:rsidR="00E07E70">
        <w:t>S</w:t>
      </w:r>
      <w:r w:rsidRPr="009B4BC9">
        <w:t xml:space="preserve">alary </w:t>
      </w:r>
      <w:r w:rsidR="00E07E70">
        <w:t>P</w:t>
      </w:r>
      <w:r w:rsidRPr="009B4BC9">
        <w:t>ackaging</w:t>
      </w:r>
    </w:p>
    <w:p w14:paraId="0359EA13" w14:textId="77777777" w:rsidR="0083707D" w:rsidRPr="009B4BC9" w:rsidRDefault="0083707D" w:rsidP="0083707D">
      <w:pPr>
        <w:spacing w:after="120"/>
        <w:jc w:val="both"/>
        <w:rPr>
          <w:rFonts w:ascii="Calibri Light" w:hAnsi="Calibri Light" w:cs="Calibri Light"/>
          <w:color w:val="404040" w:themeColor="text1" w:themeTint="BF"/>
        </w:rPr>
      </w:pPr>
      <w:r w:rsidRPr="009B4BC9">
        <w:rPr>
          <w:rFonts w:ascii="Calibri Light" w:hAnsi="Calibri Light" w:cs="Calibri Light"/>
          <w:color w:val="404040" w:themeColor="text1" w:themeTint="BF"/>
        </w:rPr>
        <w:t xml:space="preserve">Salary packaging reduces your payable income tax, resulting in a higher-take-home pay for you. </w:t>
      </w:r>
    </w:p>
    <w:p w14:paraId="2B758A1C" w14:textId="6A0C8682" w:rsidR="0083707D" w:rsidRPr="009B4BC9" w:rsidRDefault="0083707D" w:rsidP="0083707D">
      <w:pPr>
        <w:pStyle w:val="Heading2"/>
        <w:rPr>
          <w:bCs/>
        </w:rPr>
      </w:pPr>
      <w:r w:rsidRPr="009B4BC9">
        <w:t xml:space="preserve">How </w:t>
      </w:r>
      <w:r w:rsidR="00E07E70">
        <w:t>D</w:t>
      </w:r>
      <w:r w:rsidRPr="009B4BC9">
        <w:t xml:space="preserve">oes </w:t>
      </w:r>
      <w:r w:rsidR="00E07E70">
        <w:t>S</w:t>
      </w:r>
      <w:r w:rsidRPr="009B4BC9">
        <w:t xml:space="preserve">alary </w:t>
      </w:r>
      <w:r w:rsidR="00E07E70">
        <w:t>P</w:t>
      </w:r>
      <w:r w:rsidRPr="009B4BC9">
        <w:t xml:space="preserve">ackaging </w:t>
      </w:r>
      <w:r w:rsidR="00E07E70">
        <w:t>W</w:t>
      </w:r>
      <w:r w:rsidRPr="009B4BC9">
        <w:t>ork?</w:t>
      </w:r>
    </w:p>
    <w:p w14:paraId="57401848" w14:textId="77777777" w:rsidR="0083707D" w:rsidRDefault="0083707D" w:rsidP="0083707D">
      <w:pPr>
        <w:jc w:val="both"/>
        <w:rPr>
          <w:rFonts w:ascii="Calibri Light" w:hAnsi="Calibri Light" w:cs="Calibri Light"/>
          <w:color w:val="404040" w:themeColor="text1" w:themeTint="BF"/>
        </w:rPr>
      </w:pPr>
      <w:r w:rsidRPr="009B4BC9">
        <w:rPr>
          <w:rFonts w:ascii="Calibri Light" w:hAnsi="Calibri Light" w:cs="Calibri Light"/>
          <w:color w:val="404040" w:themeColor="text1" w:themeTint="BF"/>
        </w:rPr>
        <w:t>When you opt for salary packaging, you designate a portion of your income to cover specific expenses before your income tax is calculated. The allocated income can be utilised for everyday items you currently pay for, such as rent or mortgage, credit card repayments, and other essential expenses.</w:t>
      </w:r>
    </w:p>
    <w:p w14:paraId="0D05F2D5" w14:textId="4EFDD72C" w:rsidR="004D5914" w:rsidRDefault="004D5914" w:rsidP="0083707D">
      <w:pPr>
        <w:jc w:val="both"/>
        <w:rPr>
          <w:rFonts w:ascii="Calibri Light" w:hAnsi="Calibri Light" w:cs="Calibri Light"/>
          <w:color w:val="404040" w:themeColor="text1" w:themeTint="BF"/>
        </w:rPr>
      </w:pPr>
      <w:r>
        <w:rPr>
          <w:rFonts w:ascii="Calibri Light" w:hAnsi="Calibri Light" w:cs="Calibri Light"/>
          <w:color w:val="404040" w:themeColor="text1" w:themeTint="BF"/>
        </w:rPr>
        <w:t xml:space="preserve">As </w:t>
      </w:r>
      <w:r w:rsidRPr="009B4BC9">
        <w:rPr>
          <w:rFonts w:ascii="Calibri Light" w:hAnsi="Calibri Light" w:cs="Calibri Light"/>
          <w:color w:val="404040" w:themeColor="text1" w:themeTint="BF"/>
        </w:rPr>
        <w:t>you only pay tax on the remaining amount after packaging, your overall tax liability decreases, leading to an enhanced take-home pay. This process offers a practical way to manage your finances and maximise your income.</w:t>
      </w:r>
    </w:p>
    <w:p w14:paraId="47820008" w14:textId="7B347FC8" w:rsidR="003C74C3" w:rsidRPr="009B4BC9" w:rsidRDefault="00B42D63" w:rsidP="0083707D">
      <w:pPr>
        <w:jc w:val="both"/>
        <w:rPr>
          <w:rFonts w:ascii="Calibri Light" w:hAnsi="Calibri Light" w:cs="Calibri Light"/>
          <w:color w:val="404040" w:themeColor="text1" w:themeTint="BF"/>
        </w:rPr>
      </w:pPr>
      <w:r w:rsidRPr="009B4BC9">
        <w:rPr>
          <w:rFonts w:ascii="Calibri Light" w:hAnsi="Calibri Light" w:cs="Calibri Light"/>
          <w:noProof/>
          <w:color w:val="404040" w:themeColor="text1" w:themeTint="BF"/>
        </w:rPr>
        <w:drawing>
          <wp:anchor distT="0" distB="0" distL="114300" distR="114300" simplePos="0" relativeHeight="251659264" behindDoc="1" locked="0" layoutInCell="1" allowOverlap="1" wp14:anchorId="611FA33B" wp14:editId="281722D4">
            <wp:simplePos x="0" y="0"/>
            <wp:positionH relativeFrom="margin">
              <wp:align>center</wp:align>
            </wp:positionH>
            <wp:positionV relativeFrom="page">
              <wp:posOffset>5982970</wp:posOffset>
            </wp:positionV>
            <wp:extent cx="5833745" cy="2800350"/>
            <wp:effectExtent l="0" t="0" r="0" b="0"/>
            <wp:wrapTight wrapText="bothSides">
              <wp:wrapPolygon edited="0">
                <wp:start x="0" y="0"/>
                <wp:lineTo x="0" y="21453"/>
                <wp:lineTo x="21513" y="21453"/>
                <wp:lineTo x="21513" y="0"/>
                <wp:lineTo x="0" y="0"/>
              </wp:wrapPolygon>
            </wp:wrapTight>
            <wp:docPr id="1297704300" name="Picture 1" descr="A few icons of various types of goo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704300" name="Picture 1" descr="A few icons of various types of good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833745" cy="2800350"/>
                    </a:xfrm>
                    <a:prstGeom prst="rect">
                      <a:avLst/>
                    </a:prstGeom>
                  </pic:spPr>
                </pic:pic>
              </a:graphicData>
            </a:graphic>
            <wp14:sizeRelH relativeFrom="page">
              <wp14:pctWidth>0</wp14:pctWidth>
            </wp14:sizeRelH>
            <wp14:sizeRelV relativeFrom="page">
              <wp14:pctHeight>0</wp14:pctHeight>
            </wp14:sizeRelV>
          </wp:anchor>
        </w:drawing>
      </w:r>
    </w:p>
    <w:p w14:paraId="61CB68D1" w14:textId="77777777" w:rsidR="008B49FA" w:rsidRDefault="008B49FA" w:rsidP="001F18F1">
      <w:pPr>
        <w:spacing w:after="120" w:line="240" w:lineRule="auto"/>
        <w:rPr>
          <w:bCs/>
          <w:iCs/>
        </w:rPr>
      </w:pPr>
    </w:p>
    <w:p w14:paraId="4A5C6D29" w14:textId="0AD727D9" w:rsidR="00A13F8E" w:rsidRPr="009B4BC9" w:rsidRDefault="00A13F8E" w:rsidP="00A13F8E">
      <w:pPr>
        <w:pStyle w:val="Heading2"/>
        <w:rPr>
          <w:bCs/>
        </w:rPr>
      </w:pPr>
      <w:r w:rsidRPr="009B4BC9">
        <w:lastRenderedPageBreak/>
        <w:t xml:space="preserve">What </w:t>
      </w:r>
      <w:r w:rsidR="00E07E70">
        <w:t>C</w:t>
      </w:r>
      <w:r w:rsidRPr="009B4BC9">
        <w:t xml:space="preserve">an </w:t>
      </w:r>
      <w:r w:rsidR="00E07E70">
        <w:t>Y</w:t>
      </w:r>
      <w:r w:rsidRPr="009B4BC9">
        <w:t xml:space="preserve">ou </w:t>
      </w:r>
      <w:r w:rsidR="002457D4">
        <w:t>Use Your Salary Package To Pay For?</w:t>
      </w:r>
    </w:p>
    <w:p w14:paraId="56D48D2B" w14:textId="77777777" w:rsidR="00A13F8E" w:rsidRPr="009B4BC9" w:rsidRDefault="00A13F8E" w:rsidP="00A13F8E">
      <w:pPr>
        <w:spacing w:after="0"/>
        <w:rPr>
          <w:rFonts w:ascii="Calibri Light" w:hAnsi="Calibri Light" w:cs="Calibri Light"/>
          <w:color w:val="404040" w:themeColor="text1" w:themeTint="BF"/>
        </w:rPr>
      </w:pPr>
      <w:r w:rsidRPr="009B4BC9">
        <w:rPr>
          <w:rFonts w:ascii="Calibri Light" w:hAnsi="Calibri Light" w:cs="Calibri Light"/>
          <w:color w:val="404040" w:themeColor="text1" w:themeTint="BF"/>
        </w:rPr>
        <w:t xml:space="preserve">Your salary packaging can cover various expenses, including: </w:t>
      </w:r>
    </w:p>
    <w:p w14:paraId="0142EF6B" w14:textId="77777777" w:rsidR="00A13F8E" w:rsidRPr="00A13F8E" w:rsidRDefault="00A13F8E" w:rsidP="00A13F8E">
      <w:pPr>
        <w:pStyle w:val="ListParagraph"/>
        <w:numPr>
          <w:ilvl w:val="0"/>
          <w:numId w:val="16"/>
        </w:numPr>
        <w:rPr>
          <w:rFonts w:ascii="Calibri Light" w:hAnsi="Calibri Light" w:cs="Calibri Light"/>
          <w:color w:val="404040" w:themeColor="text1" w:themeTint="BF"/>
        </w:rPr>
      </w:pPr>
      <w:r w:rsidRPr="00A13F8E">
        <w:rPr>
          <w:rFonts w:ascii="Calibri Light" w:hAnsi="Calibri Light" w:cs="Calibri Light"/>
          <w:color w:val="404040" w:themeColor="text1" w:themeTint="BF"/>
        </w:rPr>
        <w:t>Your rent or mortgage</w:t>
      </w:r>
    </w:p>
    <w:p w14:paraId="1B4128E7" w14:textId="7FDDF668" w:rsidR="00A13F8E" w:rsidRPr="00A13F8E" w:rsidRDefault="00A13F8E" w:rsidP="00A13F8E">
      <w:pPr>
        <w:pStyle w:val="ListParagraph"/>
        <w:numPr>
          <w:ilvl w:val="0"/>
          <w:numId w:val="16"/>
        </w:numPr>
        <w:rPr>
          <w:rFonts w:ascii="Calibri Light" w:hAnsi="Calibri Light" w:cs="Calibri Light"/>
          <w:color w:val="404040" w:themeColor="text1" w:themeTint="BF"/>
        </w:rPr>
      </w:pPr>
      <w:r w:rsidRPr="00A13F8E">
        <w:rPr>
          <w:rFonts w:ascii="Calibri Light" w:hAnsi="Calibri Light" w:cs="Calibri Light"/>
          <w:color w:val="404040" w:themeColor="text1" w:themeTint="BF"/>
        </w:rPr>
        <w:t>Credit card repayments</w:t>
      </w:r>
    </w:p>
    <w:p w14:paraId="2DCAE5AF" w14:textId="77777777" w:rsidR="00A13F8E" w:rsidRPr="00A13F8E" w:rsidRDefault="00A13F8E" w:rsidP="00A13F8E">
      <w:pPr>
        <w:pStyle w:val="ListParagraph"/>
        <w:numPr>
          <w:ilvl w:val="0"/>
          <w:numId w:val="16"/>
        </w:numPr>
        <w:rPr>
          <w:rFonts w:ascii="Calibri Light" w:hAnsi="Calibri Light" w:cs="Calibri Light"/>
          <w:color w:val="404040" w:themeColor="text1" w:themeTint="BF"/>
        </w:rPr>
      </w:pPr>
      <w:r w:rsidRPr="00A13F8E">
        <w:rPr>
          <w:rFonts w:ascii="Calibri Light" w:hAnsi="Calibri Light" w:cs="Calibri Light"/>
          <w:color w:val="404040" w:themeColor="text1" w:themeTint="BF"/>
        </w:rPr>
        <w:t>Personal loans</w:t>
      </w:r>
    </w:p>
    <w:p w14:paraId="5BDA3427" w14:textId="77777777" w:rsidR="00A13F8E" w:rsidRPr="00A13F8E" w:rsidRDefault="00A13F8E" w:rsidP="00A13F8E">
      <w:pPr>
        <w:pStyle w:val="ListParagraph"/>
        <w:numPr>
          <w:ilvl w:val="0"/>
          <w:numId w:val="16"/>
        </w:numPr>
        <w:rPr>
          <w:rFonts w:ascii="Calibri Light" w:hAnsi="Calibri Light" w:cs="Calibri Light"/>
          <w:color w:val="404040" w:themeColor="text1" w:themeTint="BF"/>
        </w:rPr>
      </w:pPr>
      <w:r w:rsidRPr="00A13F8E">
        <w:rPr>
          <w:rFonts w:ascii="Calibri Light" w:hAnsi="Calibri Light" w:cs="Calibri Light"/>
          <w:color w:val="404040" w:themeColor="text1" w:themeTint="BF"/>
        </w:rPr>
        <w:t>School fees</w:t>
      </w:r>
    </w:p>
    <w:p w14:paraId="5D0FA43E" w14:textId="77777777" w:rsidR="00A13F8E" w:rsidRPr="00A13F8E" w:rsidRDefault="00A13F8E" w:rsidP="00A13F8E">
      <w:pPr>
        <w:pStyle w:val="ListParagraph"/>
        <w:numPr>
          <w:ilvl w:val="0"/>
          <w:numId w:val="16"/>
        </w:numPr>
        <w:rPr>
          <w:rFonts w:ascii="Calibri Light" w:hAnsi="Calibri Light" w:cs="Calibri Light"/>
          <w:color w:val="404040" w:themeColor="text1" w:themeTint="BF"/>
        </w:rPr>
      </w:pPr>
      <w:r w:rsidRPr="00A13F8E">
        <w:rPr>
          <w:rFonts w:ascii="Calibri Light" w:hAnsi="Calibri Light" w:cs="Calibri Light"/>
          <w:color w:val="404040" w:themeColor="text1" w:themeTint="BF"/>
        </w:rPr>
        <w:t>A salary packaging card, which can be used for groceries and services, fuel, online shopping, bills, and utilities, and more.</w:t>
      </w:r>
    </w:p>
    <w:p w14:paraId="3C1CC3D4" w14:textId="77777777" w:rsidR="00A13F8E" w:rsidRPr="009B4BC9" w:rsidRDefault="00A13F8E" w:rsidP="00A13F8E">
      <w:pPr>
        <w:rPr>
          <w:rFonts w:ascii="Calibri Light" w:hAnsi="Calibri Light" w:cs="Calibri Light"/>
          <w:color w:val="404040" w:themeColor="text1" w:themeTint="BF"/>
        </w:rPr>
      </w:pPr>
      <w:r w:rsidRPr="009B4BC9">
        <w:rPr>
          <w:rFonts w:ascii="Calibri Light" w:hAnsi="Calibri Light" w:cs="Calibri Light"/>
          <w:color w:val="404040" w:themeColor="text1" w:themeTint="BF"/>
        </w:rPr>
        <w:t>Once you've decided on the allocation of your salary packaging, your employer will manage these payments on your behalf.</w:t>
      </w:r>
    </w:p>
    <w:p w14:paraId="369165AC" w14:textId="355D28C5" w:rsidR="00A13F8E" w:rsidRPr="009B4BC9" w:rsidRDefault="00A13F8E" w:rsidP="00CB6BE4">
      <w:pPr>
        <w:pStyle w:val="Heading2"/>
        <w:rPr>
          <w:bCs/>
        </w:rPr>
      </w:pPr>
      <w:r w:rsidRPr="009B4BC9">
        <w:t xml:space="preserve">Additional </w:t>
      </w:r>
      <w:r w:rsidR="003615B4">
        <w:t>B</w:t>
      </w:r>
      <w:r w:rsidRPr="009B4BC9">
        <w:t>enefits</w:t>
      </w:r>
    </w:p>
    <w:p w14:paraId="02F6402B" w14:textId="77777777" w:rsidR="00A13F8E" w:rsidRPr="009B4BC9" w:rsidRDefault="00A13F8E" w:rsidP="00CB6BE4">
      <w:pPr>
        <w:spacing w:after="0"/>
        <w:rPr>
          <w:rFonts w:ascii="Calibri Light" w:hAnsi="Calibri Light" w:cs="Calibri Light"/>
          <w:color w:val="404040" w:themeColor="text1" w:themeTint="BF"/>
        </w:rPr>
      </w:pPr>
      <w:r w:rsidRPr="009B4BC9">
        <w:rPr>
          <w:rFonts w:ascii="Calibri Light" w:hAnsi="Calibri Light" w:cs="Calibri Light"/>
          <w:color w:val="404040" w:themeColor="text1" w:themeTint="BF"/>
        </w:rPr>
        <w:t>In addition to the above, many employers and salary packaging providers offer additional benefits, including:</w:t>
      </w:r>
    </w:p>
    <w:p w14:paraId="3C086C71" w14:textId="77777777" w:rsidR="00A13F8E" w:rsidRPr="009B4BC9" w:rsidRDefault="00A13F8E" w:rsidP="00A13F8E">
      <w:pPr>
        <w:pStyle w:val="ListParagraph"/>
        <w:numPr>
          <w:ilvl w:val="0"/>
          <w:numId w:val="14"/>
        </w:numPr>
        <w:spacing w:line="276" w:lineRule="auto"/>
        <w:ind w:left="714" w:hanging="357"/>
        <w:rPr>
          <w:rFonts w:ascii="Calibri Light" w:hAnsi="Calibri Light" w:cs="Calibri Light"/>
          <w:color w:val="404040" w:themeColor="text1" w:themeTint="BF"/>
        </w:rPr>
      </w:pPr>
      <w:r w:rsidRPr="009B4BC9">
        <w:rPr>
          <w:rFonts w:ascii="Calibri Light" w:hAnsi="Calibri Light" w:cs="Calibri Light"/>
          <w:color w:val="404040" w:themeColor="text1" w:themeTint="BF"/>
        </w:rPr>
        <w:t>Meal entertainment and holiday accommodation card, which provides you with an additional $2,650 tax-free.</w:t>
      </w:r>
    </w:p>
    <w:p w14:paraId="2A34F515" w14:textId="77777777" w:rsidR="00A13F8E" w:rsidRPr="009B4BC9" w:rsidRDefault="00A13F8E" w:rsidP="00A13F8E">
      <w:pPr>
        <w:pStyle w:val="ListParagraph"/>
        <w:numPr>
          <w:ilvl w:val="0"/>
          <w:numId w:val="14"/>
        </w:numPr>
        <w:spacing w:line="276" w:lineRule="auto"/>
        <w:ind w:left="714" w:hanging="357"/>
        <w:rPr>
          <w:rFonts w:ascii="Calibri Light" w:hAnsi="Calibri Light" w:cs="Calibri Light"/>
          <w:color w:val="404040" w:themeColor="text1" w:themeTint="BF"/>
        </w:rPr>
      </w:pPr>
      <w:r w:rsidRPr="009B4BC9">
        <w:rPr>
          <w:rFonts w:ascii="Calibri Light" w:hAnsi="Calibri Light" w:cs="Calibri Light"/>
          <w:color w:val="404040" w:themeColor="text1" w:themeTint="BF"/>
        </w:rPr>
        <w:t>Additional superannuation contributions, saving on tax while boosting future wealth.</w:t>
      </w:r>
    </w:p>
    <w:p w14:paraId="4CAB02CA" w14:textId="77777777" w:rsidR="00A13F8E" w:rsidRPr="009B4BC9" w:rsidRDefault="00A13F8E" w:rsidP="00A13F8E">
      <w:pPr>
        <w:pStyle w:val="ListParagraph"/>
        <w:numPr>
          <w:ilvl w:val="0"/>
          <w:numId w:val="14"/>
        </w:numPr>
        <w:spacing w:line="276" w:lineRule="auto"/>
        <w:ind w:left="714" w:hanging="357"/>
        <w:rPr>
          <w:rFonts w:ascii="Calibri Light" w:hAnsi="Calibri Light" w:cs="Calibri Light"/>
          <w:color w:val="404040" w:themeColor="text1" w:themeTint="BF"/>
        </w:rPr>
      </w:pPr>
      <w:r w:rsidRPr="009B4BC9">
        <w:rPr>
          <w:rFonts w:ascii="Calibri Light" w:hAnsi="Calibri Light" w:cs="Calibri Light"/>
          <w:color w:val="404040" w:themeColor="text1" w:themeTint="BF"/>
        </w:rPr>
        <w:t>Electronic devices that are portable and battery powered can be packaged on top of your standard salary packaging limit, if they are used predominantly for work-related purposes.</w:t>
      </w:r>
    </w:p>
    <w:p w14:paraId="5796E941" w14:textId="77777777" w:rsidR="00A13F8E" w:rsidRPr="009B4BC9" w:rsidRDefault="00A13F8E" w:rsidP="00A13F8E">
      <w:pPr>
        <w:pStyle w:val="ListParagraph"/>
        <w:numPr>
          <w:ilvl w:val="0"/>
          <w:numId w:val="14"/>
        </w:numPr>
        <w:spacing w:after="120" w:line="276" w:lineRule="auto"/>
        <w:ind w:left="714" w:hanging="357"/>
        <w:rPr>
          <w:rFonts w:ascii="Calibri Light" w:hAnsi="Calibri Light" w:cs="Calibri Light"/>
          <w:color w:val="404040" w:themeColor="text1" w:themeTint="BF"/>
        </w:rPr>
      </w:pPr>
      <w:r w:rsidRPr="009B4BC9">
        <w:rPr>
          <w:rFonts w:ascii="Calibri Light" w:hAnsi="Calibri Light" w:cs="Calibri Light"/>
          <w:color w:val="404040" w:themeColor="text1" w:themeTint="BF"/>
        </w:rPr>
        <w:t>Airline lounge memberships can be claimed tax free if you travel for work at least once in a fringe benefit year.</w:t>
      </w:r>
    </w:p>
    <w:bookmarkEnd w:id="0"/>
    <w:bookmarkEnd w:id="1"/>
    <w:p w14:paraId="11ADAFD8" w14:textId="2CA568BD" w:rsidR="00E07E70" w:rsidRPr="009B4BC9" w:rsidRDefault="00E07E70" w:rsidP="00E07E70">
      <w:pPr>
        <w:pStyle w:val="Heading2"/>
        <w:rPr>
          <w:bCs/>
        </w:rPr>
      </w:pPr>
      <w:r w:rsidRPr="009B4BC9">
        <w:t xml:space="preserve">Frequently </w:t>
      </w:r>
      <w:r w:rsidR="003615B4">
        <w:t>A</w:t>
      </w:r>
      <w:r w:rsidRPr="009B4BC9">
        <w:t xml:space="preserve">sked </w:t>
      </w:r>
      <w:r w:rsidR="003615B4">
        <w:t>Q</w:t>
      </w:r>
      <w:r w:rsidRPr="009B4BC9">
        <w:t>uestions</w:t>
      </w:r>
    </w:p>
    <w:p w14:paraId="4F3FAF5C" w14:textId="77777777" w:rsidR="00E07E70" w:rsidRPr="009B4BC9" w:rsidRDefault="00E07E70" w:rsidP="00E07E70">
      <w:pPr>
        <w:spacing w:before="120" w:after="0"/>
        <w:rPr>
          <w:rFonts w:ascii="Calibri Light" w:hAnsi="Calibri Light" w:cs="Calibri Light"/>
          <w:b/>
          <w:iCs/>
          <w:color w:val="404040" w:themeColor="text1" w:themeTint="BF"/>
        </w:rPr>
      </w:pPr>
      <w:r w:rsidRPr="009B4BC9">
        <w:rPr>
          <w:rFonts w:ascii="Calibri Light" w:hAnsi="Calibri Light" w:cs="Calibri Light"/>
          <w:b/>
          <w:iCs/>
          <w:color w:val="404040" w:themeColor="text1" w:themeTint="BF"/>
        </w:rPr>
        <w:t>What’s the catch?</w:t>
      </w:r>
    </w:p>
    <w:p w14:paraId="5937379C" w14:textId="77777777" w:rsidR="00E07E70" w:rsidRPr="009B4BC9" w:rsidRDefault="00E07E70" w:rsidP="00E07E70">
      <w:pPr>
        <w:rPr>
          <w:rFonts w:ascii="Calibri Light" w:hAnsi="Calibri Light" w:cs="Calibri Light"/>
          <w:i/>
          <w:iCs/>
          <w:color w:val="404040" w:themeColor="text1" w:themeTint="BF"/>
        </w:rPr>
      </w:pPr>
      <w:r w:rsidRPr="009B4BC9">
        <w:rPr>
          <w:rFonts w:ascii="Calibri Light" w:hAnsi="Calibri Light" w:cs="Calibri Light"/>
          <w:color w:val="404040" w:themeColor="text1" w:themeTint="BF"/>
        </w:rPr>
        <w:t>There isn't one! Salary packaging for the NFP sector was created by the ATO as an incentive to supplement the typically lower salaries in this sector compared to others. It's a legally sanctioned entitlement governed by ATO-approved policies and guidelines, aimed at providing financial benefits to employees. So, you can be assured that salary packaging is a legitimate and beneficial option for maximising your earnings.</w:t>
      </w:r>
    </w:p>
    <w:p w14:paraId="365D37AF" w14:textId="77777777" w:rsidR="00E07E70" w:rsidRPr="009B4BC9" w:rsidRDefault="00E07E70" w:rsidP="00E07E70">
      <w:pPr>
        <w:spacing w:before="120" w:after="0"/>
        <w:jc w:val="both"/>
        <w:rPr>
          <w:rFonts w:ascii="Calibri Light" w:hAnsi="Calibri Light" w:cs="Calibri Light"/>
          <w:b/>
          <w:iCs/>
          <w:color w:val="404040" w:themeColor="text1" w:themeTint="BF"/>
        </w:rPr>
      </w:pPr>
      <w:r w:rsidRPr="009B4BC9">
        <w:rPr>
          <w:rFonts w:ascii="Calibri Light" w:hAnsi="Calibri Light" w:cs="Calibri Light"/>
          <w:b/>
          <w:iCs/>
          <w:color w:val="404040" w:themeColor="text1" w:themeTint="BF"/>
        </w:rPr>
        <w:t>What if I work for more than one employer?</w:t>
      </w:r>
    </w:p>
    <w:p w14:paraId="312E1083" w14:textId="77777777" w:rsidR="00E07E70" w:rsidRPr="009B4BC9" w:rsidRDefault="00E07E70" w:rsidP="00E07E70">
      <w:pPr>
        <w:jc w:val="both"/>
        <w:rPr>
          <w:rFonts w:ascii="Calibri Light" w:hAnsi="Calibri Light" w:cs="Calibri Light"/>
          <w:color w:val="404040" w:themeColor="text1" w:themeTint="BF"/>
        </w:rPr>
      </w:pPr>
      <w:r w:rsidRPr="009B4BC9">
        <w:rPr>
          <w:rFonts w:ascii="Calibri Light" w:hAnsi="Calibri Light" w:cs="Calibri Light"/>
          <w:color w:val="404040" w:themeColor="text1" w:themeTint="BF"/>
        </w:rPr>
        <w:t>If you work for multiple employers with the same Fringe Benefits Tax (FBT) status, you can effectively double your salary packaging cap. For example, if your annual cap is $15,900, you can utilise this amount at each employer, effectively increasing your total salary packaging cap to $31,800.</w:t>
      </w:r>
      <w:r w:rsidRPr="009B4BC9">
        <w:rPr>
          <w:rFonts w:ascii="Calibri Light" w:hAnsi="Calibri Light" w:cs="Calibri Light"/>
          <w:vanish/>
          <w:color w:val="404040" w:themeColor="text1" w:themeTint="BF"/>
        </w:rPr>
        <w:t>Top of Form</w:t>
      </w:r>
    </w:p>
    <w:p w14:paraId="4F3C468F" w14:textId="77777777" w:rsidR="00E07E70" w:rsidRPr="009B4BC9" w:rsidRDefault="00E07E70" w:rsidP="00E07E70">
      <w:pPr>
        <w:spacing w:before="120" w:after="0"/>
        <w:jc w:val="both"/>
        <w:rPr>
          <w:rFonts w:ascii="Calibri Light" w:hAnsi="Calibri Light" w:cs="Calibri Light"/>
          <w:b/>
          <w:iCs/>
          <w:color w:val="404040" w:themeColor="text1" w:themeTint="BF"/>
        </w:rPr>
      </w:pPr>
      <w:r w:rsidRPr="009B4BC9">
        <w:rPr>
          <w:rFonts w:ascii="Calibri Light" w:hAnsi="Calibri Light" w:cs="Calibri Light"/>
          <w:b/>
          <w:iCs/>
          <w:color w:val="404040" w:themeColor="text1" w:themeTint="BF"/>
        </w:rPr>
        <w:t>What if I don’t work full time?</w:t>
      </w:r>
    </w:p>
    <w:p w14:paraId="566BB50A" w14:textId="77777777" w:rsidR="00E07E70" w:rsidRPr="009B4BC9" w:rsidRDefault="00E07E70" w:rsidP="00E07E70">
      <w:pPr>
        <w:jc w:val="both"/>
        <w:rPr>
          <w:rFonts w:ascii="Calibri Light" w:hAnsi="Calibri Light" w:cs="Calibri Light"/>
          <w:color w:val="404040" w:themeColor="text1" w:themeTint="BF"/>
        </w:rPr>
      </w:pPr>
      <w:r w:rsidRPr="009B4BC9">
        <w:rPr>
          <w:rFonts w:ascii="Calibri Light" w:hAnsi="Calibri Light" w:cs="Calibri Light"/>
          <w:color w:val="404040" w:themeColor="text1" w:themeTint="BF"/>
        </w:rPr>
        <w:t xml:space="preserve">Salary packaging availability may vary depending on the employer and individual circumstances. Typically, full-time, part-time, and some casual employees may be eligible, but it's essential to confirm eligibility with your employer. </w:t>
      </w:r>
    </w:p>
    <w:p w14:paraId="7D0D1958" w14:textId="77777777" w:rsidR="00E07E70" w:rsidRPr="009B4BC9" w:rsidRDefault="00E07E70" w:rsidP="00E07E70">
      <w:pPr>
        <w:spacing w:before="120" w:after="0"/>
        <w:jc w:val="both"/>
        <w:rPr>
          <w:rFonts w:ascii="Calibri Light" w:hAnsi="Calibri Light" w:cs="Calibri Light"/>
          <w:b/>
          <w:iCs/>
          <w:color w:val="404040" w:themeColor="text1" w:themeTint="BF"/>
        </w:rPr>
      </w:pPr>
      <w:r w:rsidRPr="009B4BC9">
        <w:rPr>
          <w:rFonts w:ascii="Calibri Light" w:hAnsi="Calibri Light" w:cs="Calibri Light"/>
          <w:b/>
          <w:iCs/>
          <w:color w:val="404040" w:themeColor="text1" w:themeTint="BF"/>
        </w:rPr>
        <w:t>I’m on a low income. Will I still benefit from salary packaging?</w:t>
      </w:r>
    </w:p>
    <w:p w14:paraId="7A924791" w14:textId="77777777" w:rsidR="00E07E70" w:rsidRPr="009B4BC9" w:rsidRDefault="00E07E70" w:rsidP="00E07E70">
      <w:pPr>
        <w:jc w:val="both"/>
        <w:rPr>
          <w:rFonts w:ascii="Calibri Light" w:hAnsi="Calibri Light" w:cs="Calibri Light"/>
          <w:color w:val="404040" w:themeColor="text1" w:themeTint="BF"/>
        </w:rPr>
      </w:pPr>
      <w:r w:rsidRPr="009B4BC9">
        <w:rPr>
          <w:rFonts w:ascii="Calibri Light" w:hAnsi="Calibri Light" w:cs="Calibri Light"/>
          <w:color w:val="404040" w:themeColor="text1" w:themeTint="BF"/>
        </w:rPr>
        <w:t>If your annual salary exceeds the tax-free threshold of $18,200 and you are subject to taxation, you may be eligible to take advantage of salary packaging benefits.</w:t>
      </w:r>
    </w:p>
    <w:p w14:paraId="58D07697" w14:textId="77777777" w:rsidR="00E07E70" w:rsidRPr="009B4BC9" w:rsidRDefault="00E07E70" w:rsidP="00E07E70">
      <w:pPr>
        <w:spacing w:before="120" w:after="0"/>
        <w:jc w:val="both"/>
        <w:rPr>
          <w:rFonts w:ascii="Calibri Light" w:hAnsi="Calibri Light" w:cs="Calibri Light"/>
          <w:b/>
          <w:iCs/>
          <w:color w:val="404040" w:themeColor="text1" w:themeTint="BF"/>
        </w:rPr>
      </w:pPr>
      <w:r w:rsidRPr="009B4BC9">
        <w:rPr>
          <w:rFonts w:ascii="Calibri Light" w:hAnsi="Calibri Light" w:cs="Calibri Light"/>
          <w:b/>
          <w:iCs/>
          <w:color w:val="404040" w:themeColor="text1" w:themeTint="BF"/>
        </w:rPr>
        <w:t>Is the fringe tax benefit (FTB) year the same as the financial year?</w:t>
      </w:r>
    </w:p>
    <w:p w14:paraId="506274DE" w14:textId="77777777" w:rsidR="00E07E70" w:rsidRPr="009B4BC9" w:rsidRDefault="00E07E70" w:rsidP="00E07E70">
      <w:pPr>
        <w:jc w:val="both"/>
        <w:rPr>
          <w:rFonts w:ascii="Calibri Light" w:hAnsi="Calibri Light" w:cs="Calibri Light"/>
          <w:color w:val="404040" w:themeColor="text1" w:themeTint="BF"/>
        </w:rPr>
      </w:pPr>
      <w:r w:rsidRPr="009B4BC9">
        <w:rPr>
          <w:rFonts w:ascii="Calibri Light" w:hAnsi="Calibri Light" w:cs="Calibri Light"/>
          <w:color w:val="404040" w:themeColor="text1" w:themeTint="BF"/>
        </w:rPr>
        <w:t>The financial year and FTB year are not the same. The FTB year is from 1 April to 31 March, while the financial year is from 1 July to 30 June.</w:t>
      </w:r>
    </w:p>
    <w:p w14:paraId="6C2A45B5" w14:textId="77777777" w:rsidR="00E07E70" w:rsidRPr="009B4BC9" w:rsidRDefault="00E07E70" w:rsidP="00E07E70">
      <w:pPr>
        <w:spacing w:before="120" w:after="0"/>
        <w:jc w:val="both"/>
        <w:rPr>
          <w:rFonts w:ascii="Calibri Light" w:hAnsi="Calibri Light" w:cs="Calibri Light"/>
          <w:b/>
          <w:iCs/>
          <w:color w:val="404040" w:themeColor="text1" w:themeTint="BF"/>
        </w:rPr>
      </w:pPr>
      <w:r w:rsidRPr="009B4BC9">
        <w:rPr>
          <w:rFonts w:ascii="Calibri Light" w:hAnsi="Calibri Light" w:cs="Calibri Light"/>
          <w:b/>
          <w:iCs/>
          <w:color w:val="404040" w:themeColor="text1" w:themeTint="BF"/>
        </w:rPr>
        <w:lastRenderedPageBreak/>
        <w:t>Will I owe this money back at tax time?</w:t>
      </w:r>
    </w:p>
    <w:p w14:paraId="2CC12186" w14:textId="77777777" w:rsidR="00E07E70" w:rsidRPr="009B4BC9" w:rsidRDefault="00E07E70" w:rsidP="00E07E70">
      <w:pPr>
        <w:spacing w:after="120"/>
        <w:jc w:val="both"/>
        <w:rPr>
          <w:rFonts w:ascii="Calibri Light" w:hAnsi="Calibri Light" w:cs="Calibri Light"/>
          <w:color w:val="404040" w:themeColor="text1" w:themeTint="BF"/>
        </w:rPr>
      </w:pPr>
      <w:r w:rsidRPr="009B4BC9">
        <w:rPr>
          <w:rFonts w:ascii="Calibri Light" w:hAnsi="Calibri Light" w:cs="Calibri Light"/>
          <w:color w:val="404040" w:themeColor="text1" w:themeTint="BF"/>
        </w:rPr>
        <w:t>No. Salary packaging is not a loan, and you are not borrowing anything from the government or your employer. The money you access through salary packaging is your own money that you have earned.</w:t>
      </w:r>
    </w:p>
    <w:p w14:paraId="082FD365" w14:textId="77777777" w:rsidR="00E07E70" w:rsidRPr="009B4BC9" w:rsidRDefault="00E07E70" w:rsidP="004B0E2D">
      <w:pPr>
        <w:pStyle w:val="Heading2"/>
        <w:rPr>
          <w:bCs/>
        </w:rPr>
      </w:pPr>
      <w:r w:rsidRPr="009B4BC9">
        <w:t>How do I get started?</w:t>
      </w:r>
    </w:p>
    <w:p w14:paraId="2DCD88A2" w14:textId="77777777" w:rsidR="00E07E70" w:rsidRPr="009B4BC9" w:rsidRDefault="00E07E70" w:rsidP="00E07E70">
      <w:pPr>
        <w:jc w:val="both"/>
        <w:rPr>
          <w:rFonts w:ascii="Calibri Light" w:hAnsi="Calibri Light" w:cs="Calibri Light"/>
          <w:color w:val="404040" w:themeColor="text1" w:themeTint="BF"/>
        </w:rPr>
      </w:pPr>
      <w:r w:rsidRPr="009B4BC9">
        <w:rPr>
          <w:rFonts w:ascii="Calibri Light" w:hAnsi="Calibri Light" w:cs="Calibri Light"/>
          <w:color w:val="404040" w:themeColor="text1" w:themeTint="BF"/>
        </w:rPr>
        <w:t>For additional information on salary packaging:</w:t>
      </w:r>
    </w:p>
    <w:p w14:paraId="40FF7882" w14:textId="77777777" w:rsidR="00E07E70" w:rsidRPr="009B4BC9" w:rsidRDefault="00E07E70" w:rsidP="00E07E70">
      <w:pPr>
        <w:numPr>
          <w:ilvl w:val="0"/>
          <w:numId w:val="17"/>
        </w:numPr>
        <w:spacing w:after="60"/>
        <w:ind w:left="714" w:hanging="357"/>
        <w:jc w:val="both"/>
        <w:rPr>
          <w:rFonts w:ascii="Calibri Light" w:hAnsi="Calibri Light" w:cs="Calibri Light"/>
          <w:color w:val="404040" w:themeColor="text1" w:themeTint="BF"/>
        </w:rPr>
      </w:pPr>
      <w:r w:rsidRPr="009B4BC9">
        <w:rPr>
          <w:rFonts w:ascii="Calibri Light" w:hAnsi="Calibri Light" w:cs="Calibri Light"/>
          <w:color w:val="404040" w:themeColor="text1" w:themeTint="BF"/>
        </w:rPr>
        <w:t>Consult your employer: Your employer can provide detailed insights into the salary packaging options available. Most employers work with a salary packaging provider to handle allocated funds.</w:t>
      </w:r>
    </w:p>
    <w:p w14:paraId="23BEDBE9" w14:textId="77777777" w:rsidR="00E07E70" w:rsidRPr="009B4BC9" w:rsidRDefault="00E07E70" w:rsidP="00E07E70">
      <w:pPr>
        <w:numPr>
          <w:ilvl w:val="0"/>
          <w:numId w:val="17"/>
        </w:numPr>
        <w:spacing w:after="60"/>
        <w:ind w:left="714" w:hanging="357"/>
        <w:jc w:val="both"/>
        <w:rPr>
          <w:rFonts w:ascii="Calibri Light" w:hAnsi="Calibri Light" w:cs="Calibri Light"/>
          <w:color w:val="404040" w:themeColor="text1" w:themeTint="BF"/>
        </w:rPr>
      </w:pPr>
      <w:r w:rsidRPr="009B4BC9">
        <w:rPr>
          <w:rFonts w:ascii="Calibri Light" w:hAnsi="Calibri Light" w:cs="Calibri Light"/>
          <w:color w:val="404040" w:themeColor="text1" w:themeTint="BF"/>
        </w:rPr>
        <w:t>Contact your employer's provider: Your employer can direct you to their salary packaging provider. Feel free to contact them directly for more information and assistance.</w:t>
      </w:r>
    </w:p>
    <w:p w14:paraId="6C073476" w14:textId="77777777" w:rsidR="00E07E70" w:rsidRPr="009B4BC9" w:rsidRDefault="00E07E70" w:rsidP="00E07E70">
      <w:pPr>
        <w:numPr>
          <w:ilvl w:val="0"/>
          <w:numId w:val="17"/>
        </w:numPr>
        <w:spacing w:after="160"/>
        <w:jc w:val="both"/>
        <w:rPr>
          <w:rFonts w:ascii="Calibri Light" w:hAnsi="Calibri Light" w:cs="Calibri Light"/>
          <w:color w:val="404040" w:themeColor="text1" w:themeTint="BF"/>
        </w:rPr>
      </w:pPr>
      <w:r w:rsidRPr="009B4BC9">
        <w:rPr>
          <w:rFonts w:ascii="Calibri Light" w:hAnsi="Calibri Light" w:cs="Calibri Light"/>
          <w:color w:val="404040" w:themeColor="text1" w:themeTint="BF"/>
        </w:rPr>
        <w:t xml:space="preserve">Visit the ATO website: Explore the Australian Taxation Office </w:t>
      </w:r>
      <w:hyperlink r:id="rId11" w:history="1">
        <w:r w:rsidRPr="009B4BC9">
          <w:rPr>
            <w:rStyle w:val="Hyperlink"/>
            <w:rFonts w:ascii="Calibri Light" w:hAnsi="Calibri Light" w:cs="Calibri Light"/>
          </w:rPr>
          <w:t>(ATO) website</w:t>
        </w:r>
      </w:hyperlink>
      <w:r w:rsidRPr="009B4BC9">
        <w:rPr>
          <w:rFonts w:ascii="Calibri Light" w:hAnsi="Calibri Light" w:cs="Calibri Light"/>
          <w:color w:val="404040" w:themeColor="text1" w:themeTint="BF"/>
        </w:rPr>
        <w:t xml:space="preserve"> for comprehensive details on salary packaging for the not-for-profit sector.</w:t>
      </w:r>
    </w:p>
    <w:p w14:paraId="6B748342" w14:textId="77777777" w:rsidR="00E07E70" w:rsidRPr="009B4BC9" w:rsidRDefault="00E07E70" w:rsidP="00E07E70">
      <w:pPr>
        <w:jc w:val="both"/>
        <w:rPr>
          <w:rFonts w:ascii="Calibri Light" w:hAnsi="Calibri Light" w:cs="Calibri Light"/>
          <w:color w:val="404040" w:themeColor="text1" w:themeTint="BF"/>
        </w:rPr>
      </w:pPr>
    </w:p>
    <w:p w14:paraId="7F9200E9" w14:textId="6E0CB90F" w:rsidR="00B671A8" w:rsidRPr="004B0E2D" w:rsidRDefault="00E07E70" w:rsidP="004B0E2D">
      <w:pPr>
        <w:jc w:val="both"/>
        <w:rPr>
          <w:rFonts w:ascii="Calibri Light" w:hAnsi="Calibri Light" w:cs="Calibri Light"/>
          <w:iCs/>
          <w:color w:val="404040" w:themeColor="text1" w:themeTint="BF"/>
          <w:szCs w:val="18"/>
        </w:rPr>
      </w:pPr>
      <w:r w:rsidRPr="009B4BC9">
        <w:rPr>
          <w:rFonts w:ascii="Calibri Light" w:hAnsi="Calibri Light" w:cs="Calibri Light"/>
          <w:b/>
          <w:iCs/>
          <w:color w:val="404040" w:themeColor="text1" w:themeTint="BF"/>
          <w:szCs w:val="18"/>
        </w:rPr>
        <w:t>*PLEASE NOTE</w:t>
      </w:r>
      <w:r>
        <w:rPr>
          <w:rFonts w:ascii="Calibri Light" w:hAnsi="Calibri Light" w:cs="Calibri Light"/>
          <w:iCs/>
          <w:color w:val="404040" w:themeColor="text1" w:themeTint="BF"/>
          <w:szCs w:val="18"/>
        </w:rPr>
        <w:t xml:space="preserve">: </w:t>
      </w:r>
      <w:r w:rsidRPr="009B4BC9">
        <w:rPr>
          <w:rFonts w:ascii="Calibri Light" w:hAnsi="Calibri Light" w:cs="Calibri Light"/>
          <w:iCs/>
          <w:color w:val="404040" w:themeColor="text1" w:themeTint="BF"/>
          <w:szCs w:val="18"/>
        </w:rPr>
        <w:t>the information provided in this document is intended to be general and factual in nature and should not be construed as financial advice. For personalised guidance tailored to your individual circumstances, consult with your employer and salary packaging provider for comprehensive information relevant to your specific position.</w:t>
      </w:r>
    </w:p>
    <w:sectPr w:rsidR="00B671A8" w:rsidRPr="004B0E2D" w:rsidSect="00AD4663">
      <w:headerReference w:type="default" r:id="rId12"/>
      <w:footerReference w:type="even" r:id="rId13"/>
      <w:footerReference w:type="default" r:id="rId14"/>
      <w:headerReference w:type="first" r:id="rId15"/>
      <w:footerReference w:type="first" r:id="rId16"/>
      <w:pgSz w:w="11900" w:h="16840"/>
      <w:pgMar w:top="720" w:right="720" w:bottom="720" w:left="720" w:header="124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A8240" w14:textId="77777777" w:rsidR="00BA5938" w:rsidRDefault="00BA5938" w:rsidP="00FE01E9">
      <w:pPr>
        <w:spacing w:after="0" w:line="240" w:lineRule="auto"/>
      </w:pPr>
      <w:r>
        <w:separator/>
      </w:r>
    </w:p>
  </w:endnote>
  <w:endnote w:type="continuationSeparator" w:id="0">
    <w:p w14:paraId="5F0BE38B" w14:textId="77777777" w:rsidR="00BA5938" w:rsidRDefault="00BA5938" w:rsidP="00FE0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2D4D" w14:textId="62F3DB96" w:rsidR="00AC4A42" w:rsidRDefault="00AC4A42" w:rsidP="0067695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2C73">
      <w:rPr>
        <w:rStyle w:val="PageNumber"/>
        <w:noProof/>
      </w:rPr>
      <w:t>2</w:t>
    </w:r>
    <w:r>
      <w:rPr>
        <w:rStyle w:val="PageNumber"/>
      </w:rPr>
      <w:fldChar w:fldCharType="end"/>
    </w:r>
  </w:p>
  <w:p w14:paraId="43E5994C" w14:textId="77777777" w:rsidR="00AC4A42" w:rsidRDefault="00AC4A42" w:rsidP="00AC4A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EB8D" w14:textId="7AAD6D4D" w:rsidR="00AC4A42" w:rsidRDefault="002813CA" w:rsidP="00651F84">
    <w:pPr>
      <w:pStyle w:val="Footer"/>
      <w:spacing w:after="0"/>
      <w:ind w:right="357"/>
    </w:pPr>
    <w:r>
      <w:rPr>
        <w:noProof/>
      </w:rPr>
      <w:drawing>
        <wp:anchor distT="0" distB="0" distL="114300" distR="114300" simplePos="0" relativeHeight="251658243" behindDoc="1" locked="0" layoutInCell="1" allowOverlap="1" wp14:anchorId="6A4722F3" wp14:editId="6472FFFF">
          <wp:simplePos x="0" y="0"/>
          <wp:positionH relativeFrom="page">
            <wp:posOffset>0</wp:posOffset>
          </wp:positionH>
          <wp:positionV relativeFrom="page">
            <wp:posOffset>10037445</wp:posOffset>
          </wp:positionV>
          <wp:extent cx="7559675" cy="715645"/>
          <wp:effectExtent l="0" t="0" r="3175" b="8255"/>
          <wp:wrapTight wrapText="bothSides">
            <wp:wrapPolygon edited="0">
              <wp:start x="0" y="0"/>
              <wp:lineTo x="0" y="21274"/>
              <wp:lineTo x="21555" y="21274"/>
              <wp:lineTo x="21555" y="0"/>
              <wp:lineTo x="0" y="0"/>
            </wp:wrapPolygon>
          </wp:wrapTight>
          <wp:docPr id="14442556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156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A95A" w14:textId="4750D5AE" w:rsidR="00676951" w:rsidRDefault="002813CA" w:rsidP="00651F84">
    <w:pPr>
      <w:pStyle w:val="Footer"/>
      <w:tabs>
        <w:tab w:val="clear" w:pos="4513"/>
        <w:tab w:val="clear" w:pos="9026"/>
        <w:tab w:val="left" w:pos="2850"/>
      </w:tabs>
      <w:spacing w:after="0"/>
    </w:pPr>
    <w:r>
      <w:rPr>
        <w:noProof/>
      </w:rPr>
      <w:drawing>
        <wp:anchor distT="0" distB="0" distL="114300" distR="114300" simplePos="0" relativeHeight="251658242" behindDoc="1" locked="0" layoutInCell="1" allowOverlap="1" wp14:anchorId="7AF1F884" wp14:editId="2AB78BE1">
          <wp:simplePos x="0" y="0"/>
          <wp:positionH relativeFrom="page">
            <wp:posOffset>-6350</wp:posOffset>
          </wp:positionH>
          <wp:positionV relativeFrom="page">
            <wp:posOffset>10017125</wp:posOffset>
          </wp:positionV>
          <wp:extent cx="7559675" cy="715645"/>
          <wp:effectExtent l="0" t="0" r="3175" b="8255"/>
          <wp:wrapTight wrapText="bothSides">
            <wp:wrapPolygon edited="0">
              <wp:start x="0" y="0"/>
              <wp:lineTo x="0" y="21274"/>
              <wp:lineTo x="21555" y="21274"/>
              <wp:lineTo x="21555" y="0"/>
              <wp:lineTo x="0" y="0"/>
            </wp:wrapPolygon>
          </wp:wrapTight>
          <wp:docPr id="6727025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15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A8B564" w14:textId="37FEDC29" w:rsidR="00676951" w:rsidRDefault="00676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181E5" w14:textId="77777777" w:rsidR="00BA5938" w:rsidRDefault="00BA5938" w:rsidP="00FE01E9">
      <w:pPr>
        <w:spacing w:after="0" w:line="240" w:lineRule="auto"/>
      </w:pPr>
      <w:r>
        <w:separator/>
      </w:r>
    </w:p>
  </w:footnote>
  <w:footnote w:type="continuationSeparator" w:id="0">
    <w:p w14:paraId="6B567BC9" w14:textId="77777777" w:rsidR="00BA5938" w:rsidRDefault="00BA5938" w:rsidP="00FE0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B0930" w14:textId="71954A25" w:rsidR="00FE01E9" w:rsidRDefault="00FC0159" w:rsidP="00074ADF">
    <w:pPr>
      <w:pStyle w:val="Header"/>
      <w:tabs>
        <w:tab w:val="clear" w:pos="4513"/>
        <w:tab w:val="clear" w:pos="9026"/>
        <w:tab w:val="left" w:pos="5460"/>
      </w:tabs>
    </w:pPr>
    <w:r>
      <w:rPr>
        <w:noProof/>
      </w:rPr>
      <w:drawing>
        <wp:anchor distT="0" distB="0" distL="114300" distR="114300" simplePos="0" relativeHeight="251658241" behindDoc="1" locked="0" layoutInCell="1" allowOverlap="1" wp14:anchorId="762A4EEE" wp14:editId="758F6853">
          <wp:simplePos x="0" y="0"/>
          <wp:positionH relativeFrom="page">
            <wp:align>right</wp:align>
          </wp:positionH>
          <wp:positionV relativeFrom="paragraph">
            <wp:posOffset>-791845</wp:posOffset>
          </wp:positionV>
          <wp:extent cx="7560000" cy="977268"/>
          <wp:effectExtent l="0" t="0" r="3175" b="0"/>
          <wp:wrapTight wrapText="bothSides">
            <wp:wrapPolygon edited="0">
              <wp:start x="0" y="0"/>
              <wp:lineTo x="0" y="16842"/>
              <wp:lineTo x="19922" y="20211"/>
              <wp:lineTo x="19922" y="20632"/>
              <wp:lineTo x="20738" y="21053"/>
              <wp:lineTo x="21555" y="21053"/>
              <wp:lineTo x="21555" y="0"/>
              <wp:lineTo x="0" y="0"/>
            </wp:wrapPolygon>
          </wp:wrapTight>
          <wp:docPr id="4884434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97726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B6EC" w14:textId="31CD3642" w:rsidR="00074ADF" w:rsidRDefault="00375AAA" w:rsidP="00651F84">
    <w:pPr>
      <w:pStyle w:val="Header"/>
      <w:tabs>
        <w:tab w:val="clear" w:pos="4513"/>
        <w:tab w:val="clear" w:pos="9026"/>
        <w:tab w:val="left" w:pos="5370"/>
      </w:tabs>
    </w:pPr>
    <w:r>
      <w:rPr>
        <w:noProof/>
      </w:rPr>
      <w:drawing>
        <wp:anchor distT="0" distB="0" distL="114300" distR="114300" simplePos="0" relativeHeight="251659267" behindDoc="1" locked="0" layoutInCell="1" allowOverlap="1" wp14:anchorId="715A5493" wp14:editId="69415D06">
          <wp:simplePos x="0" y="0"/>
          <wp:positionH relativeFrom="page">
            <wp:align>right</wp:align>
          </wp:positionH>
          <wp:positionV relativeFrom="page">
            <wp:align>top</wp:align>
          </wp:positionV>
          <wp:extent cx="7560000" cy="2001176"/>
          <wp:effectExtent l="0" t="0" r="3175" b="0"/>
          <wp:wrapNone/>
          <wp:docPr id="796341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2001176"/>
                  </a:xfrm>
                  <a:prstGeom prst="rect">
                    <a:avLst/>
                  </a:prstGeom>
                  <a:noFill/>
                  <a:ln>
                    <a:noFill/>
                  </a:ln>
                </pic:spPr>
              </pic:pic>
            </a:graphicData>
          </a:graphic>
          <wp14:sizeRelH relativeFrom="page">
            <wp14:pctWidth>0</wp14:pctWidth>
          </wp14:sizeRelH>
          <wp14:sizeRelV relativeFrom="page">
            <wp14:pctHeight>0</wp14:pctHeight>
          </wp14:sizeRelV>
        </wp:anchor>
      </w:drawing>
    </w:r>
    <w:r w:rsidR="00651F8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13A"/>
    <w:multiLevelType w:val="hybridMultilevel"/>
    <w:tmpl w:val="52608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AA7525"/>
    <w:multiLevelType w:val="hybridMultilevel"/>
    <w:tmpl w:val="15640624"/>
    <w:lvl w:ilvl="0" w:tplc="FD5424E0">
      <w:start w:val="1"/>
      <w:numFmt w:val="decimal"/>
      <w:lvlText w:val="%1."/>
      <w:lvlJc w:val="left"/>
      <w:pPr>
        <w:ind w:left="502" w:hanging="360"/>
      </w:pPr>
      <w:rPr>
        <w:rFonts w:hint="default"/>
        <w:b w:val="0"/>
        <w:i w:val="0"/>
        <w:sz w:val="22"/>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 w15:restartNumberingAfterBreak="0">
    <w:nsid w:val="0F957320"/>
    <w:multiLevelType w:val="hybridMultilevel"/>
    <w:tmpl w:val="AB8C8E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D2084D"/>
    <w:multiLevelType w:val="hybridMultilevel"/>
    <w:tmpl w:val="47CA6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420101"/>
    <w:multiLevelType w:val="multilevel"/>
    <w:tmpl w:val="43C43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CF3D27"/>
    <w:multiLevelType w:val="hybridMultilevel"/>
    <w:tmpl w:val="A6C66340"/>
    <w:lvl w:ilvl="0" w:tplc="A6709B5C">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474DFA"/>
    <w:multiLevelType w:val="multilevel"/>
    <w:tmpl w:val="4EF22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3C176C"/>
    <w:multiLevelType w:val="multilevel"/>
    <w:tmpl w:val="9C70E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7842EC"/>
    <w:multiLevelType w:val="hybridMultilevel"/>
    <w:tmpl w:val="9C04B28A"/>
    <w:lvl w:ilvl="0" w:tplc="04BE678C">
      <w:start w:val="1"/>
      <w:numFmt w:val="decimal"/>
      <w:lvlText w:val="%1."/>
      <w:lvlJc w:val="left"/>
      <w:pPr>
        <w:ind w:left="360" w:hanging="360"/>
      </w:pPr>
      <w:rPr>
        <w:rFonts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592E126A"/>
    <w:multiLevelType w:val="hybridMultilevel"/>
    <w:tmpl w:val="5F34A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A46102"/>
    <w:multiLevelType w:val="hybridMultilevel"/>
    <w:tmpl w:val="8648D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5C03E46"/>
    <w:multiLevelType w:val="hybridMultilevel"/>
    <w:tmpl w:val="34587266"/>
    <w:lvl w:ilvl="0" w:tplc="4D36821C">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841590E"/>
    <w:multiLevelType w:val="hybridMultilevel"/>
    <w:tmpl w:val="5FAEF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2E2352"/>
    <w:multiLevelType w:val="multilevel"/>
    <w:tmpl w:val="8D323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D80248"/>
    <w:multiLevelType w:val="hybridMultilevel"/>
    <w:tmpl w:val="6FC69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C594359"/>
    <w:multiLevelType w:val="hybridMultilevel"/>
    <w:tmpl w:val="EE3E49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85133581">
    <w:abstractNumId w:val="5"/>
  </w:num>
  <w:num w:numId="2" w16cid:durableId="1246257074">
    <w:abstractNumId w:val="6"/>
  </w:num>
  <w:num w:numId="3" w16cid:durableId="2092042405">
    <w:abstractNumId w:val="4"/>
  </w:num>
  <w:num w:numId="4" w16cid:durableId="99180537">
    <w:abstractNumId w:val="13"/>
  </w:num>
  <w:num w:numId="5" w16cid:durableId="473454601">
    <w:abstractNumId w:val="14"/>
  </w:num>
  <w:num w:numId="6" w16cid:durableId="17393560">
    <w:abstractNumId w:val="9"/>
  </w:num>
  <w:num w:numId="7" w16cid:durableId="1842117469">
    <w:abstractNumId w:val="1"/>
  </w:num>
  <w:num w:numId="8" w16cid:durableId="479230126">
    <w:abstractNumId w:val="8"/>
  </w:num>
  <w:num w:numId="9" w16cid:durableId="2077126055">
    <w:abstractNumId w:val="2"/>
  </w:num>
  <w:num w:numId="10" w16cid:durableId="2007779224">
    <w:abstractNumId w:val="3"/>
  </w:num>
  <w:num w:numId="11" w16cid:durableId="1304459998">
    <w:abstractNumId w:val="15"/>
  </w:num>
  <w:num w:numId="12" w16cid:durableId="1025715695">
    <w:abstractNumId w:val="11"/>
  </w:num>
  <w:num w:numId="13" w16cid:durableId="1788961999">
    <w:abstractNumId w:val="10"/>
  </w:num>
  <w:num w:numId="14" w16cid:durableId="820073781">
    <w:abstractNumId w:val="12"/>
  </w:num>
  <w:num w:numId="15" w16cid:durableId="222567658">
    <w:abstractNumId w:val="16"/>
  </w:num>
  <w:num w:numId="16" w16cid:durableId="1577858528">
    <w:abstractNumId w:val="0"/>
  </w:num>
  <w:num w:numId="17" w16cid:durableId="2980696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1E9"/>
    <w:rsid w:val="0004579B"/>
    <w:rsid w:val="00074ADF"/>
    <w:rsid w:val="00076C72"/>
    <w:rsid w:val="00092BBB"/>
    <w:rsid w:val="000B213E"/>
    <w:rsid w:val="000B6C24"/>
    <w:rsid w:val="000E1F83"/>
    <w:rsid w:val="001344D5"/>
    <w:rsid w:val="00135F7D"/>
    <w:rsid w:val="001630EB"/>
    <w:rsid w:val="0016469B"/>
    <w:rsid w:val="00181BC9"/>
    <w:rsid w:val="001A3E04"/>
    <w:rsid w:val="001B2C92"/>
    <w:rsid w:val="001D3815"/>
    <w:rsid w:val="001F18F1"/>
    <w:rsid w:val="001F4202"/>
    <w:rsid w:val="002457D4"/>
    <w:rsid w:val="002813CA"/>
    <w:rsid w:val="00286ACD"/>
    <w:rsid w:val="00314165"/>
    <w:rsid w:val="0031517D"/>
    <w:rsid w:val="003512ED"/>
    <w:rsid w:val="003615B4"/>
    <w:rsid w:val="00362C73"/>
    <w:rsid w:val="00362F60"/>
    <w:rsid w:val="00371259"/>
    <w:rsid w:val="00372434"/>
    <w:rsid w:val="00375AAA"/>
    <w:rsid w:val="00385317"/>
    <w:rsid w:val="003B19D9"/>
    <w:rsid w:val="003B6572"/>
    <w:rsid w:val="003C38A1"/>
    <w:rsid w:val="003C74C3"/>
    <w:rsid w:val="003F0FA7"/>
    <w:rsid w:val="00421ADE"/>
    <w:rsid w:val="004301AD"/>
    <w:rsid w:val="004700DD"/>
    <w:rsid w:val="00490292"/>
    <w:rsid w:val="004B0E2D"/>
    <w:rsid w:val="004B2926"/>
    <w:rsid w:val="004D5914"/>
    <w:rsid w:val="004F68EA"/>
    <w:rsid w:val="0050590F"/>
    <w:rsid w:val="005344F0"/>
    <w:rsid w:val="005475CA"/>
    <w:rsid w:val="0055312A"/>
    <w:rsid w:val="0057134A"/>
    <w:rsid w:val="00571453"/>
    <w:rsid w:val="005879DB"/>
    <w:rsid w:val="005C4820"/>
    <w:rsid w:val="00631F7A"/>
    <w:rsid w:val="00651F84"/>
    <w:rsid w:val="006676D0"/>
    <w:rsid w:val="00676951"/>
    <w:rsid w:val="006B7048"/>
    <w:rsid w:val="00711CA6"/>
    <w:rsid w:val="0073392E"/>
    <w:rsid w:val="007420E0"/>
    <w:rsid w:val="00787726"/>
    <w:rsid w:val="007A7168"/>
    <w:rsid w:val="007B5EC3"/>
    <w:rsid w:val="007C2CD7"/>
    <w:rsid w:val="007C44F7"/>
    <w:rsid w:val="00815990"/>
    <w:rsid w:val="00822161"/>
    <w:rsid w:val="008343B8"/>
    <w:rsid w:val="0083707D"/>
    <w:rsid w:val="008557CE"/>
    <w:rsid w:val="00880C1A"/>
    <w:rsid w:val="008B49FA"/>
    <w:rsid w:val="008C7019"/>
    <w:rsid w:val="008E1CA2"/>
    <w:rsid w:val="0093070C"/>
    <w:rsid w:val="009D0F7B"/>
    <w:rsid w:val="00A13F8E"/>
    <w:rsid w:val="00A2009D"/>
    <w:rsid w:val="00A33F3A"/>
    <w:rsid w:val="00A33FB3"/>
    <w:rsid w:val="00A6227B"/>
    <w:rsid w:val="00A62ECA"/>
    <w:rsid w:val="00A6488D"/>
    <w:rsid w:val="00A712EE"/>
    <w:rsid w:val="00A73604"/>
    <w:rsid w:val="00A85F7D"/>
    <w:rsid w:val="00A95945"/>
    <w:rsid w:val="00AC4A42"/>
    <w:rsid w:val="00AD4663"/>
    <w:rsid w:val="00AE40DD"/>
    <w:rsid w:val="00B1382F"/>
    <w:rsid w:val="00B42D63"/>
    <w:rsid w:val="00B53B91"/>
    <w:rsid w:val="00B6474C"/>
    <w:rsid w:val="00B671A8"/>
    <w:rsid w:val="00B7194B"/>
    <w:rsid w:val="00B77AD8"/>
    <w:rsid w:val="00B93E99"/>
    <w:rsid w:val="00B9696B"/>
    <w:rsid w:val="00B96D71"/>
    <w:rsid w:val="00BA5938"/>
    <w:rsid w:val="00BA7091"/>
    <w:rsid w:val="00C22664"/>
    <w:rsid w:val="00C65B0A"/>
    <w:rsid w:val="00C97836"/>
    <w:rsid w:val="00CB6BE4"/>
    <w:rsid w:val="00D41F0E"/>
    <w:rsid w:val="00D46BF7"/>
    <w:rsid w:val="00DB727F"/>
    <w:rsid w:val="00DE6060"/>
    <w:rsid w:val="00E037F9"/>
    <w:rsid w:val="00E07E70"/>
    <w:rsid w:val="00E25C5C"/>
    <w:rsid w:val="00E6117B"/>
    <w:rsid w:val="00E62FFF"/>
    <w:rsid w:val="00E85500"/>
    <w:rsid w:val="00E87CEA"/>
    <w:rsid w:val="00EE28AA"/>
    <w:rsid w:val="00EE4A20"/>
    <w:rsid w:val="00F028F9"/>
    <w:rsid w:val="00F52954"/>
    <w:rsid w:val="00FA4C91"/>
    <w:rsid w:val="00FB066C"/>
    <w:rsid w:val="00FC0159"/>
    <w:rsid w:val="00FE0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FEF6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F18F1"/>
  </w:style>
  <w:style w:type="paragraph" w:styleId="Heading1">
    <w:name w:val="heading 1"/>
    <w:basedOn w:val="Normal"/>
    <w:next w:val="Normal"/>
    <w:link w:val="Heading1Char"/>
    <w:autoRedefine/>
    <w:uiPriority w:val="9"/>
    <w:qFormat/>
    <w:rsid w:val="00375AAA"/>
    <w:pPr>
      <w:spacing w:before="240" w:after="0"/>
      <w:contextualSpacing/>
      <w:jc w:val="center"/>
      <w:outlineLvl w:val="0"/>
    </w:pPr>
    <w:rPr>
      <w:rFonts w:ascii="Calibri" w:hAnsi="Calibri"/>
      <w:b/>
      <w:smallCaps/>
      <w:color w:val="21093A"/>
      <w:spacing w:val="5"/>
      <w:sz w:val="40"/>
      <w:szCs w:val="40"/>
    </w:rPr>
  </w:style>
  <w:style w:type="paragraph" w:styleId="Heading2">
    <w:name w:val="heading 2"/>
    <w:basedOn w:val="Normal"/>
    <w:next w:val="Normal"/>
    <w:link w:val="Heading2Char"/>
    <w:autoRedefine/>
    <w:uiPriority w:val="9"/>
    <w:unhideWhenUsed/>
    <w:qFormat/>
    <w:rsid w:val="00AD4663"/>
    <w:pPr>
      <w:spacing w:before="200" w:after="0" w:line="271" w:lineRule="auto"/>
      <w:outlineLvl w:val="1"/>
    </w:pPr>
    <w:rPr>
      <w:b/>
      <w:smallCaps/>
      <w:sz w:val="32"/>
      <w:szCs w:val="28"/>
    </w:rPr>
  </w:style>
  <w:style w:type="paragraph" w:styleId="Heading3">
    <w:name w:val="heading 3"/>
    <w:basedOn w:val="Normal"/>
    <w:next w:val="Normal"/>
    <w:link w:val="Heading3Char"/>
    <w:autoRedefine/>
    <w:uiPriority w:val="9"/>
    <w:unhideWhenUsed/>
    <w:qFormat/>
    <w:rsid w:val="007C44F7"/>
    <w:pPr>
      <w:keepNext/>
      <w:keepLines/>
      <w:pBdr>
        <w:bottom w:val="single" w:sz="24" w:space="1" w:color="2CD5C4"/>
      </w:pBdr>
      <w:spacing w:before="360" w:after="120"/>
      <w:outlineLvl w:val="2"/>
    </w:pPr>
    <w:rPr>
      <w:b/>
      <w:smallCaps/>
      <w:sz w:val="32"/>
      <w:szCs w:val="32"/>
    </w:rPr>
  </w:style>
  <w:style w:type="paragraph" w:styleId="Heading4">
    <w:name w:val="heading 4"/>
    <w:basedOn w:val="Normal"/>
    <w:next w:val="Normal"/>
    <w:link w:val="Heading4Char"/>
    <w:uiPriority w:val="9"/>
    <w:unhideWhenUsed/>
    <w:qFormat/>
    <w:rsid w:val="00676951"/>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676951"/>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676951"/>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676951"/>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676951"/>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676951"/>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1E9"/>
    <w:pPr>
      <w:tabs>
        <w:tab w:val="center" w:pos="4513"/>
        <w:tab w:val="right" w:pos="9026"/>
      </w:tabs>
    </w:pPr>
  </w:style>
  <w:style w:type="character" w:customStyle="1" w:styleId="HeaderChar">
    <w:name w:val="Header Char"/>
    <w:basedOn w:val="DefaultParagraphFont"/>
    <w:link w:val="Header"/>
    <w:uiPriority w:val="99"/>
    <w:rsid w:val="00FE01E9"/>
  </w:style>
  <w:style w:type="paragraph" w:styleId="Footer">
    <w:name w:val="footer"/>
    <w:basedOn w:val="Normal"/>
    <w:link w:val="FooterChar"/>
    <w:uiPriority w:val="99"/>
    <w:unhideWhenUsed/>
    <w:rsid w:val="00FE01E9"/>
    <w:pPr>
      <w:tabs>
        <w:tab w:val="center" w:pos="4513"/>
        <w:tab w:val="right" w:pos="9026"/>
      </w:tabs>
    </w:pPr>
  </w:style>
  <w:style w:type="character" w:customStyle="1" w:styleId="FooterChar">
    <w:name w:val="Footer Char"/>
    <w:basedOn w:val="DefaultParagraphFont"/>
    <w:link w:val="Footer"/>
    <w:uiPriority w:val="99"/>
    <w:rsid w:val="00FE01E9"/>
  </w:style>
  <w:style w:type="character" w:customStyle="1" w:styleId="Heading1Char">
    <w:name w:val="Heading 1 Char"/>
    <w:basedOn w:val="DefaultParagraphFont"/>
    <w:link w:val="Heading1"/>
    <w:uiPriority w:val="9"/>
    <w:rsid w:val="00375AAA"/>
    <w:rPr>
      <w:rFonts w:ascii="Calibri" w:hAnsi="Calibri"/>
      <w:b/>
      <w:smallCaps/>
      <w:color w:val="21093A"/>
      <w:spacing w:val="5"/>
      <w:sz w:val="40"/>
      <w:szCs w:val="40"/>
    </w:rPr>
  </w:style>
  <w:style w:type="character" w:customStyle="1" w:styleId="Heading2Char">
    <w:name w:val="Heading 2 Char"/>
    <w:basedOn w:val="DefaultParagraphFont"/>
    <w:link w:val="Heading2"/>
    <w:uiPriority w:val="9"/>
    <w:rsid w:val="00AD4663"/>
    <w:rPr>
      <w:b/>
      <w:smallCaps/>
      <w:sz w:val="32"/>
      <w:szCs w:val="28"/>
    </w:rPr>
  </w:style>
  <w:style w:type="character" w:customStyle="1" w:styleId="Heading3Char">
    <w:name w:val="Heading 3 Char"/>
    <w:basedOn w:val="DefaultParagraphFont"/>
    <w:link w:val="Heading3"/>
    <w:uiPriority w:val="9"/>
    <w:rsid w:val="007C44F7"/>
    <w:rPr>
      <w:b/>
      <w:smallCaps/>
      <w:sz w:val="32"/>
      <w:szCs w:val="32"/>
    </w:rPr>
  </w:style>
  <w:style w:type="character" w:customStyle="1" w:styleId="Heading4Char">
    <w:name w:val="Heading 4 Char"/>
    <w:basedOn w:val="DefaultParagraphFont"/>
    <w:link w:val="Heading4"/>
    <w:uiPriority w:val="9"/>
    <w:rsid w:val="00676951"/>
    <w:rPr>
      <w:b/>
      <w:bCs/>
      <w:spacing w:val="5"/>
      <w:sz w:val="24"/>
      <w:szCs w:val="24"/>
    </w:rPr>
  </w:style>
  <w:style w:type="character" w:customStyle="1" w:styleId="Heading5Char">
    <w:name w:val="Heading 5 Char"/>
    <w:basedOn w:val="DefaultParagraphFont"/>
    <w:link w:val="Heading5"/>
    <w:uiPriority w:val="9"/>
    <w:semiHidden/>
    <w:rsid w:val="00676951"/>
    <w:rPr>
      <w:i/>
      <w:iCs/>
      <w:sz w:val="24"/>
      <w:szCs w:val="24"/>
    </w:rPr>
  </w:style>
  <w:style w:type="character" w:customStyle="1" w:styleId="Heading6Char">
    <w:name w:val="Heading 6 Char"/>
    <w:basedOn w:val="DefaultParagraphFont"/>
    <w:link w:val="Heading6"/>
    <w:uiPriority w:val="9"/>
    <w:semiHidden/>
    <w:rsid w:val="00676951"/>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676951"/>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676951"/>
    <w:rPr>
      <w:b/>
      <w:bCs/>
      <w:color w:val="7F7F7F" w:themeColor="text1" w:themeTint="80"/>
      <w:sz w:val="20"/>
      <w:szCs w:val="20"/>
    </w:rPr>
  </w:style>
  <w:style w:type="character" w:customStyle="1" w:styleId="Heading9Char">
    <w:name w:val="Heading 9 Char"/>
    <w:basedOn w:val="DefaultParagraphFont"/>
    <w:link w:val="Heading9"/>
    <w:uiPriority w:val="9"/>
    <w:semiHidden/>
    <w:rsid w:val="00676951"/>
    <w:rPr>
      <w:b/>
      <w:bCs/>
      <w:i/>
      <w:iCs/>
      <w:color w:val="7F7F7F" w:themeColor="text1" w:themeTint="80"/>
      <w:sz w:val="18"/>
      <w:szCs w:val="18"/>
    </w:rPr>
  </w:style>
  <w:style w:type="paragraph" w:styleId="Caption">
    <w:name w:val="caption"/>
    <w:basedOn w:val="Normal"/>
    <w:next w:val="Normal"/>
    <w:uiPriority w:val="35"/>
    <w:semiHidden/>
    <w:unhideWhenUsed/>
    <w:rsid w:val="00074ADF"/>
    <w:rPr>
      <w:b/>
      <w:bCs/>
      <w:color w:val="4A7B29" w:themeColor="accent2" w:themeShade="BF"/>
      <w:sz w:val="18"/>
      <w:szCs w:val="18"/>
    </w:rPr>
  </w:style>
  <w:style w:type="paragraph" w:styleId="Title">
    <w:name w:val="Title"/>
    <w:basedOn w:val="Normal"/>
    <w:next w:val="Normal"/>
    <w:link w:val="TitleChar"/>
    <w:uiPriority w:val="10"/>
    <w:qFormat/>
    <w:rsid w:val="00676951"/>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676951"/>
    <w:rPr>
      <w:smallCaps/>
      <w:sz w:val="52"/>
      <w:szCs w:val="52"/>
    </w:rPr>
  </w:style>
  <w:style w:type="paragraph" w:styleId="Subtitle">
    <w:name w:val="Subtitle"/>
    <w:basedOn w:val="Normal"/>
    <w:next w:val="Normal"/>
    <w:link w:val="SubtitleChar"/>
    <w:uiPriority w:val="11"/>
    <w:qFormat/>
    <w:rsid w:val="00676951"/>
    <w:rPr>
      <w:i/>
      <w:iCs/>
      <w:smallCaps/>
      <w:spacing w:val="10"/>
      <w:sz w:val="28"/>
      <w:szCs w:val="28"/>
    </w:rPr>
  </w:style>
  <w:style w:type="character" w:customStyle="1" w:styleId="SubtitleChar">
    <w:name w:val="Subtitle Char"/>
    <w:basedOn w:val="DefaultParagraphFont"/>
    <w:link w:val="Subtitle"/>
    <w:uiPriority w:val="11"/>
    <w:rsid w:val="00676951"/>
    <w:rPr>
      <w:i/>
      <w:iCs/>
      <w:smallCaps/>
      <w:spacing w:val="10"/>
      <w:sz w:val="28"/>
      <w:szCs w:val="28"/>
    </w:rPr>
  </w:style>
  <w:style w:type="character" w:styleId="Strong">
    <w:name w:val="Strong"/>
    <w:uiPriority w:val="22"/>
    <w:qFormat/>
    <w:rsid w:val="00676951"/>
    <w:rPr>
      <w:b/>
      <w:bCs/>
    </w:rPr>
  </w:style>
  <w:style w:type="character" w:styleId="Emphasis">
    <w:name w:val="Emphasis"/>
    <w:uiPriority w:val="20"/>
    <w:qFormat/>
    <w:rsid w:val="00676951"/>
    <w:rPr>
      <w:b/>
      <w:bCs/>
      <w:i/>
      <w:iCs/>
      <w:spacing w:val="10"/>
    </w:rPr>
  </w:style>
  <w:style w:type="paragraph" w:styleId="NoSpacing">
    <w:name w:val="No Spacing"/>
    <w:basedOn w:val="Normal"/>
    <w:link w:val="NoSpacingChar"/>
    <w:uiPriority w:val="1"/>
    <w:qFormat/>
    <w:rsid w:val="00676951"/>
    <w:pPr>
      <w:spacing w:after="0" w:line="240" w:lineRule="auto"/>
    </w:pPr>
  </w:style>
  <w:style w:type="paragraph" w:styleId="ListParagraph">
    <w:name w:val="List Paragraph"/>
    <w:basedOn w:val="Normal"/>
    <w:autoRedefine/>
    <w:uiPriority w:val="34"/>
    <w:qFormat/>
    <w:rsid w:val="001344D5"/>
    <w:pPr>
      <w:numPr>
        <w:numId w:val="12"/>
      </w:numPr>
      <w:spacing w:after="60" w:line="240" w:lineRule="auto"/>
      <w:ind w:left="714" w:hanging="357"/>
    </w:pPr>
  </w:style>
  <w:style w:type="paragraph" w:styleId="Quote">
    <w:name w:val="Quote"/>
    <w:basedOn w:val="Normal"/>
    <w:next w:val="Normal"/>
    <w:link w:val="QuoteChar"/>
    <w:uiPriority w:val="29"/>
    <w:qFormat/>
    <w:rsid w:val="00676951"/>
    <w:rPr>
      <w:i/>
      <w:iCs/>
    </w:rPr>
  </w:style>
  <w:style w:type="character" w:customStyle="1" w:styleId="QuoteChar">
    <w:name w:val="Quote Char"/>
    <w:basedOn w:val="DefaultParagraphFont"/>
    <w:link w:val="Quote"/>
    <w:uiPriority w:val="29"/>
    <w:rsid w:val="00676951"/>
    <w:rPr>
      <w:i/>
      <w:iCs/>
    </w:rPr>
  </w:style>
  <w:style w:type="paragraph" w:styleId="IntenseQuote">
    <w:name w:val="Intense Quote"/>
    <w:basedOn w:val="Normal"/>
    <w:next w:val="Normal"/>
    <w:link w:val="IntenseQuoteChar"/>
    <w:uiPriority w:val="30"/>
    <w:qFormat/>
    <w:rsid w:val="00676951"/>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676951"/>
    <w:rPr>
      <w:i/>
      <w:iCs/>
    </w:rPr>
  </w:style>
  <w:style w:type="character" w:styleId="SubtleEmphasis">
    <w:name w:val="Subtle Emphasis"/>
    <w:uiPriority w:val="19"/>
    <w:qFormat/>
    <w:rsid w:val="00676951"/>
    <w:rPr>
      <w:i/>
      <w:iCs/>
    </w:rPr>
  </w:style>
  <w:style w:type="character" w:styleId="IntenseEmphasis">
    <w:name w:val="Intense Emphasis"/>
    <w:uiPriority w:val="21"/>
    <w:qFormat/>
    <w:rsid w:val="00676951"/>
    <w:rPr>
      <w:b/>
      <w:bCs/>
      <w:i/>
      <w:iCs/>
    </w:rPr>
  </w:style>
  <w:style w:type="character" w:styleId="SubtleReference">
    <w:name w:val="Subtle Reference"/>
    <w:basedOn w:val="DefaultParagraphFont"/>
    <w:uiPriority w:val="31"/>
    <w:qFormat/>
    <w:rsid w:val="00676951"/>
    <w:rPr>
      <w:smallCaps/>
    </w:rPr>
  </w:style>
  <w:style w:type="character" w:styleId="IntenseReference">
    <w:name w:val="Intense Reference"/>
    <w:uiPriority w:val="32"/>
    <w:qFormat/>
    <w:rsid w:val="00676951"/>
    <w:rPr>
      <w:b/>
      <w:bCs/>
      <w:smallCaps/>
    </w:rPr>
  </w:style>
  <w:style w:type="character" w:styleId="BookTitle">
    <w:name w:val="Book Title"/>
    <w:basedOn w:val="DefaultParagraphFont"/>
    <w:uiPriority w:val="33"/>
    <w:qFormat/>
    <w:rsid w:val="00676951"/>
    <w:rPr>
      <w:i/>
      <w:iCs/>
      <w:smallCaps/>
      <w:spacing w:val="5"/>
    </w:rPr>
  </w:style>
  <w:style w:type="paragraph" w:styleId="TOCHeading">
    <w:name w:val="TOC Heading"/>
    <w:basedOn w:val="Heading1"/>
    <w:next w:val="Normal"/>
    <w:uiPriority w:val="39"/>
    <w:semiHidden/>
    <w:unhideWhenUsed/>
    <w:qFormat/>
    <w:rsid w:val="00676951"/>
    <w:pPr>
      <w:outlineLvl w:val="9"/>
    </w:pPr>
  </w:style>
  <w:style w:type="character" w:customStyle="1" w:styleId="NoSpacingChar">
    <w:name w:val="No Spacing Char"/>
    <w:basedOn w:val="DefaultParagraphFont"/>
    <w:link w:val="NoSpacing"/>
    <w:uiPriority w:val="1"/>
    <w:rsid w:val="00074ADF"/>
  </w:style>
  <w:style w:type="paragraph" w:customStyle="1" w:styleId="PersonalName">
    <w:name w:val="Personal Name"/>
    <w:basedOn w:val="Title"/>
    <w:rsid w:val="00074ADF"/>
    <w:rPr>
      <w:b/>
      <w:caps/>
      <w:color w:val="000000"/>
      <w:sz w:val="28"/>
      <w:szCs w:val="28"/>
    </w:rPr>
  </w:style>
  <w:style w:type="character" w:styleId="PageNumber">
    <w:name w:val="page number"/>
    <w:basedOn w:val="DefaultParagraphFont"/>
    <w:uiPriority w:val="99"/>
    <w:semiHidden/>
    <w:unhideWhenUsed/>
    <w:rsid w:val="00AC4A42"/>
  </w:style>
  <w:style w:type="table" w:styleId="TableGrid">
    <w:name w:val="Table Grid"/>
    <w:basedOn w:val="TableNormal"/>
    <w:uiPriority w:val="39"/>
    <w:rsid w:val="008557CE"/>
    <w:pPr>
      <w:spacing w:before="120" w:after="0" w:line="240" w:lineRule="auto"/>
    </w:pPr>
    <w:rPr>
      <w:rFonts w:asciiTheme="minorHAnsi" w:eastAsiaTheme="minorHAnsi" w:hAnsiTheme="minorHAnsi" w:cstheme="minorBidi"/>
      <w:color w:val="595959" w:themeColor="text1" w:themeTint="A6"/>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420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to.gov.au/businesses-and-organisations/not-for-profit-organisations/types-of-not-for-profit-workers/your-obligations-to-workers-and-independent-contractors/salary-sacrifice-arrangements-and-not-for-profit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A682E6F2C074E9781E7F26DB99A67" ma:contentTypeVersion="16" ma:contentTypeDescription="Create a new document." ma:contentTypeScope="" ma:versionID="36e154b4326d3ca802adbc6b9a0acc16">
  <xsd:schema xmlns:xsd="http://www.w3.org/2001/XMLSchema" xmlns:xs="http://www.w3.org/2001/XMLSchema" xmlns:p="http://schemas.microsoft.com/office/2006/metadata/properties" xmlns:ns2="2d7fc642-dc45-43d8-8ac9-f6210c9dad5e" xmlns:ns3="729163a3-924d-44d9-9fbd-e98455cf4870" targetNamespace="http://schemas.microsoft.com/office/2006/metadata/properties" ma:root="true" ma:fieldsID="8968088eb85ab3b0a2947b240c43e26b" ns2:_="" ns3:_="">
    <xsd:import namespace="2d7fc642-dc45-43d8-8ac9-f6210c9dad5e"/>
    <xsd:import namespace="729163a3-924d-44d9-9fbd-e98455cf48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fc642-dc45-43d8-8ac9-f6210c9da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a86d8e3-b25c-4d2f-a69b-de779f979ab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Number" ma:index="22" nillable="true" ma:displayName="Number" ma:format="Dropdown" ma:internalName="Number"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163a3-924d-44d9-9fbd-e98455cf487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d66292-a472-44da-983b-2af0015f6efe}" ma:internalName="TaxCatchAll" ma:showField="CatchAllData" ma:web="729163a3-924d-44d9-9fbd-e98455cf48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7fc642-dc45-43d8-8ac9-f6210c9dad5e">
      <Terms xmlns="http://schemas.microsoft.com/office/infopath/2007/PartnerControls"/>
    </lcf76f155ced4ddcb4097134ff3c332f>
    <Number xmlns="2d7fc642-dc45-43d8-8ac9-f6210c9dad5e" xsi:nil="true"/>
    <TaxCatchAll xmlns="729163a3-924d-44d9-9fbd-e98455cf4870" xsi:nil="true"/>
  </documentManagement>
</p:properties>
</file>

<file path=customXml/itemProps1.xml><?xml version="1.0" encoding="utf-8"?>
<ds:datastoreItem xmlns:ds="http://schemas.openxmlformats.org/officeDocument/2006/customXml" ds:itemID="{28DBAAAC-BCAD-4B0C-8CD6-65FC8115F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fc642-dc45-43d8-8ac9-f6210c9dad5e"/>
    <ds:schemaRef ds:uri="729163a3-924d-44d9-9fbd-e98455cf4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B73BCD-FBD7-4931-8E7B-3B45E94C219E}">
  <ds:schemaRefs>
    <ds:schemaRef ds:uri="http://schemas.microsoft.com/sharepoint/v3/contenttype/forms"/>
  </ds:schemaRefs>
</ds:datastoreItem>
</file>

<file path=customXml/itemProps3.xml><?xml version="1.0" encoding="utf-8"?>
<ds:datastoreItem xmlns:ds="http://schemas.openxmlformats.org/officeDocument/2006/customXml" ds:itemID="{2E48DF12-434F-4D8A-85A0-9D195D0C7EE5}">
  <ds:schemaRefs>
    <ds:schemaRef ds:uri="http://schemas.microsoft.com/office/2006/metadata/properties"/>
    <ds:schemaRef ds:uri="http://schemas.microsoft.com/office/infopath/2007/PartnerControls"/>
    <ds:schemaRef ds:uri="2d7fc642-dc45-43d8-8ac9-f6210c9dad5e"/>
    <ds:schemaRef ds:uri="729163a3-924d-44d9-9fbd-e98455cf4870"/>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3</Pages>
  <Words>823</Words>
  <Characters>4464</Characters>
  <Application>Microsoft Office Word</Application>
  <DocSecurity>0</DocSecurity>
  <Lines>74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callum.ford@bigpond.com</dc:creator>
  <cp:keywords/>
  <dc:description/>
  <cp:lastModifiedBy>Lauren Kippin</cp:lastModifiedBy>
  <cp:revision>77</cp:revision>
  <dcterms:created xsi:type="dcterms:W3CDTF">2024-05-10T01:55:00Z</dcterms:created>
  <dcterms:modified xsi:type="dcterms:W3CDTF">2025-07-21T04:03:00Z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0x010100A6AA682E6F2C074E9781E7F26DB99A67</vt:lpwstr>
  </property>
  <property fmtid="{D5CDD505-2E9C-101B-9397-08002B2CF9AE}" pid="3" name="MediaServiceImageTags">
    <vt:lpwstr/>
  </property>
  <property fmtid="{D5CDD505-2E9C-101B-9397-08002B2CF9AE}" pid="4" name="GrammarlyDocumentId">
    <vt:lpwstr>2438206d-b304-4b78-bed0-14a0188911fe</vt:lpwstr>
  </property>
</Properties>
</file>